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8C12DE">
      <w:pPr>
        <w:jc w:val="center"/>
        <w:rPr>
          <w:rFonts w:ascii="黑体" w:hAnsi="黑体" w:eastAsia="黑体"/>
          <w:sz w:val="52"/>
          <w:szCs w:val="52"/>
        </w:rPr>
      </w:pPr>
    </w:p>
    <w:p w14:paraId="4D6C9C66">
      <w:pPr>
        <w:jc w:val="center"/>
        <w:rPr>
          <w:rFonts w:ascii="黑体" w:hAnsi="黑体" w:eastAsia="黑体"/>
          <w:sz w:val="52"/>
          <w:szCs w:val="52"/>
        </w:rPr>
      </w:pPr>
    </w:p>
    <w:p w14:paraId="3B231348">
      <w:pPr>
        <w:jc w:val="center"/>
        <w:rPr>
          <w:rFonts w:ascii="黑体" w:hAnsi="黑体" w:eastAsia="黑体"/>
          <w:sz w:val="52"/>
          <w:szCs w:val="52"/>
        </w:rPr>
      </w:pPr>
    </w:p>
    <w:p w14:paraId="2B84A526">
      <w:pPr>
        <w:jc w:val="center"/>
        <w:rPr>
          <w:rFonts w:ascii="黑体" w:hAnsi="黑体" w:eastAsia="黑体"/>
          <w:sz w:val="52"/>
          <w:szCs w:val="52"/>
        </w:rPr>
      </w:pPr>
    </w:p>
    <w:p w14:paraId="2313F67A">
      <w:pPr>
        <w:jc w:val="center"/>
        <w:rPr>
          <w:rFonts w:ascii="黑体" w:hAnsi="黑体" w:eastAsia="黑体"/>
          <w:sz w:val="52"/>
          <w:szCs w:val="52"/>
        </w:rPr>
      </w:pPr>
      <w:r>
        <w:rPr>
          <w:rFonts w:hint="eastAsia" w:ascii="黑体" w:hAnsi="黑体" w:eastAsia="黑体"/>
          <w:sz w:val="52"/>
          <w:szCs w:val="52"/>
        </w:rPr>
        <w:t>鞍山市公共资源交易平台</w:t>
      </w:r>
    </w:p>
    <w:p w14:paraId="12C253C2">
      <w:pPr>
        <w:jc w:val="center"/>
        <w:rPr>
          <w:rFonts w:ascii="黑体" w:hAnsi="黑体" w:eastAsia="黑体"/>
          <w:sz w:val="52"/>
          <w:szCs w:val="52"/>
        </w:rPr>
      </w:pPr>
      <w:r>
        <w:rPr>
          <w:rFonts w:hint="eastAsia" w:ascii="黑体" w:hAnsi="黑体" w:eastAsia="黑体"/>
          <w:sz w:val="52"/>
          <w:szCs w:val="52"/>
        </w:rPr>
        <w:t>电子开评标流程</w:t>
      </w:r>
    </w:p>
    <w:p w14:paraId="1EC73A44">
      <w:pPr>
        <w:jc w:val="center"/>
        <w:rPr>
          <w:rFonts w:ascii="黑体" w:hAnsi="黑体" w:eastAsia="黑体"/>
          <w:sz w:val="52"/>
          <w:szCs w:val="52"/>
        </w:rPr>
      </w:pPr>
      <w:r>
        <w:rPr>
          <w:rFonts w:hint="eastAsia" w:ascii="黑体" w:hAnsi="黑体" w:eastAsia="黑体"/>
          <w:sz w:val="52"/>
          <w:szCs w:val="52"/>
        </w:rPr>
        <w:t>操作手册</w:t>
      </w:r>
    </w:p>
    <w:p w14:paraId="6827014D"/>
    <w:p w14:paraId="7E602F96"/>
    <w:p w14:paraId="5BFE42F1"/>
    <w:p w14:paraId="47CABBD1"/>
    <w:p w14:paraId="704D1818"/>
    <w:p w14:paraId="5AFF1360"/>
    <w:p w14:paraId="426FEAD3"/>
    <w:p w14:paraId="0609C680"/>
    <w:p w14:paraId="35821DA4"/>
    <w:p w14:paraId="4BC515E4"/>
    <w:p w14:paraId="65EA6F5B"/>
    <w:p w14:paraId="784684E3"/>
    <w:p w14:paraId="497512FB"/>
    <w:p w14:paraId="4B41E493"/>
    <w:p w14:paraId="77163B6F"/>
    <w:p w14:paraId="20CD1AA3"/>
    <w:p w14:paraId="48CCC94B"/>
    <w:p w14:paraId="457BC549"/>
    <w:p w14:paraId="3BF1CC6E"/>
    <w:p w14:paraId="2332183C"/>
    <w:p w14:paraId="587BE48B"/>
    <w:p w14:paraId="7FFF63D9"/>
    <w:p w14:paraId="145D175E"/>
    <w:p w14:paraId="7DDE1A51">
      <w:r>
        <w:rPr>
          <w:rFonts w:hint="eastAsia"/>
        </w:rPr>
        <w:t>系统地址：</w:t>
      </w:r>
      <w:r>
        <w:rPr>
          <w:rFonts w:hint="eastAsia" w:ascii="宋体" w:hAnsi="宋体" w:eastAsia="宋体" w:cs="宋体"/>
          <w:sz w:val="24"/>
          <w:szCs w:val="24"/>
        </w:rPr>
        <w:t>http://www.asggzyjy.cn/TPPingBiao/customframe4pb/loginPBNew</w:t>
      </w:r>
    </w:p>
    <w:p w14:paraId="0F0FE8E8">
      <w:pPr>
        <w:rPr>
          <w:b/>
          <w:bCs/>
          <w:sz w:val="24"/>
          <w:szCs w:val="28"/>
        </w:rPr>
      </w:pPr>
      <w:r>
        <w:rPr>
          <w:rFonts w:hint="eastAsia"/>
          <w:b/>
          <w:bCs/>
          <w:sz w:val="24"/>
          <w:szCs w:val="28"/>
        </w:rPr>
        <w:t>开标流程：</w:t>
      </w:r>
      <w:bookmarkStart w:id="0" w:name="_GoBack"/>
      <w:bookmarkEnd w:id="0"/>
    </w:p>
    <w:p w14:paraId="74EF7E06">
      <w:pPr>
        <w:pStyle w:val="6"/>
        <w:numPr>
          <w:ilvl w:val="0"/>
          <w:numId w:val="1"/>
        </w:numPr>
        <w:ind w:firstLineChars="0"/>
      </w:pPr>
      <w:r>
        <w:rPr>
          <w:rFonts w:hint="eastAsia"/>
        </w:rPr>
        <w:t>首先登录系统</w:t>
      </w:r>
    </w:p>
    <w:p w14:paraId="1415ECC6">
      <w:r>
        <w:drawing>
          <wp:inline distT="0" distB="0" distL="0" distR="0">
            <wp:extent cx="5274310" cy="230759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 cstate="print"/>
                    <a:stretch>
                      <a:fillRect/>
                    </a:stretch>
                  </pic:blipFill>
                  <pic:spPr>
                    <a:xfrm>
                      <a:off x="0" y="0"/>
                      <a:ext cx="5274310" cy="2307590"/>
                    </a:xfrm>
                    <a:prstGeom prst="rect">
                      <a:avLst/>
                    </a:prstGeom>
                  </pic:spPr>
                </pic:pic>
              </a:graphicData>
            </a:graphic>
          </wp:inline>
        </w:drawing>
      </w:r>
    </w:p>
    <w:p w14:paraId="2C71AC0C">
      <w:pPr>
        <w:pStyle w:val="6"/>
        <w:numPr>
          <w:ilvl w:val="0"/>
          <w:numId w:val="1"/>
        </w:numPr>
        <w:ind w:firstLineChars="0"/>
      </w:pPr>
      <w:r>
        <w:rPr>
          <w:rFonts w:hint="eastAsia"/>
        </w:rPr>
        <w:t>在项目管理中找到开标的项目，若发现没有可以开标的项目，请点击同步项目按钮进行同步操作即可，右上角可以按照项目的开标状态进行筛选。修改按钮可以修改项目信息（包括开标解密时间），点击进入项目按钮即可进入项目。</w:t>
      </w:r>
    </w:p>
    <w:p w14:paraId="0DBA0AE1">
      <w:r>
        <w:drawing>
          <wp:inline distT="0" distB="0" distL="0" distR="0">
            <wp:extent cx="5274310" cy="21863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stretch>
                      <a:fillRect/>
                    </a:stretch>
                  </pic:blipFill>
                  <pic:spPr>
                    <a:xfrm>
                      <a:off x="0" y="0"/>
                      <a:ext cx="5274310" cy="2186305"/>
                    </a:xfrm>
                    <a:prstGeom prst="rect">
                      <a:avLst/>
                    </a:prstGeom>
                  </pic:spPr>
                </pic:pic>
              </a:graphicData>
            </a:graphic>
          </wp:inline>
        </w:drawing>
      </w:r>
    </w:p>
    <w:p w14:paraId="295CF092">
      <w:r>
        <w:rPr>
          <w:rFonts w:hint="eastAsia"/>
        </w:rPr>
        <w:t>3</w:t>
      </w:r>
      <w:r>
        <w:t>.</w:t>
      </w:r>
      <w:r>
        <w:rPr>
          <w:rFonts w:hint="eastAsia"/>
        </w:rPr>
        <w:t>在开标时间未到时候，可以点开标背景按钮调出一个时间展示的页面，到开标时间后，先填写开标组织人和开标记录人的姓名，然后点击公布投标单位名单。</w:t>
      </w:r>
    </w:p>
    <w:p w14:paraId="10C0FF63">
      <w:r>
        <w:drawing>
          <wp:inline distT="0" distB="0" distL="0" distR="0">
            <wp:extent cx="5274310" cy="230441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stretch>
                      <a:fillRect/>
                    </a:stretch>
                  </pic:blipFill>
                  <pic:spPr>
                    <a:xfrm>
                      <a:off x="0" y="0"/>
                      <a:ext cx="5274310" cy="2304415"/>
                    </a:xfrm>
                    <a:prstGeom prst="rect">
                      <a:avLst/>
                    </a:prstGeom>
                  </pic:spPr>
                </pic:pic>
              </a:graphicData>
            </a:graphic>
          </wp:inline>
        </w:drawing>
      </w:r>
    </w:p>
    <w:p w14:paraId="0B63A804">
      <w:r>
        <w:rPr>
          <w:rFonts w:hint="eastAsia"/>
        </w:rPr>
        <w:t>4</w:t>
      </w:r>
      <w:r>
        <w:t>.</w:t>
      </w:r>
      <w:r>
        <w:rPr>
          <w:rFonts w:hint="eastAsia"/>
        </w:rPr>
        <w:t>公布投标人名单后，正常状态下文件的递交状态是蓝色字样已递交，文件状态是红色字样未启封，在这个环节中开标组织人员可以根据具体情况来退回不符合规则的投标文件，并且也可以在右上角的流标按钮处进行流标操作。</w:t>
      </w:r>
    </w:p>
    <w:p w14:paraId="20208F5A">
      <w:r>
        <w:drawing>
          <wp:inline distT="0" distB="0" distL="0" distR="0">
            <wp:extent cx="5274310" cy="149415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stretch>
                      <a:fillRect/>
                    </a:stretch>
                  </pic:blipFill>
                  <pic:spPr>
                    <a:xfrm>
                      <a:off x="0" y="0"/>
                      <a:ext cx="5274310" cy="1494155"/>
                    </a:xfrm>
                    <a:prstGeom prst="rect">
                      <a:avLst/>
                    </a:prstGeom>
                  </pic:spPr>
                </pic:pic>
              </a:graphicData>
            </a:graphic>
          </wp:inline>
        </w:drawing>
      </w:r>
    </w:p>
    <w:p w14:paraId="0359783E">
      <w:r>
        <w:rPr>
          <w:rFonts w:hint="eastAsia"/>
        </w:rPr>
        <w:t>5</w:t>
      </w:r>
      <w:r>
        <w:t>.</w:t>
      </w:r>
      <w:r>
        <w:rPr>
          <w:rFonts w:hint="eastAsia"/>
        </w:rPr>
        <w:t>在名单公布完成并且确认其文件有效后，进入投标文件解密环节，解密有两种方式一种是C</w:t>
      </w:r>
      <w:r>
        <w:t>A</w:t>
      </w:r>
      <w:r>
        <w:rPr>
          <w:rFonts w:hint="eastAsia"/>
        </w:rPr>
        <w:t>锁进行解密，另一种为光盘导入非加密文件（适用于疫情期间），待文件解密完成后点击批量导入的操作，将投标文件的唱标项导入到系统当中。</w:t>
      </w:r>
    </w:p>
    <w:p w14:paraId="306A407E">
      <w:r>
        <w:drawing>
          <wp:inline distT="0" distB="0" distL="0" distR="0">
            <wp:extent cx="5274310" cy="138176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stretch>
                      <a:fillRect/>
                    </a:stretch>
                  </pic:blipFill>
                  <pic:spPr>
                    <a:xfrm>
                      <a:off x="0" y="0"/>
                      <a:ext cx="5274310" cy="1381760"/>
                    </a:xfrm>
                    <a:prstGeom prst="rect">
                      <a:avLst/>
                    </a:prstGeom>
                  </pic:spPr>
                </pic:pic>
              </a:graphicData>
            </a:graphic>
          </wp:inline>
        </w:drawing>
      </w:r>
    </w:p>
    <w:p w14:paraId="0E94B155">
      <w:r>
        <w:rPr>
          <w:rFonts w:hint="eastAsia"/>
        </w:rPr>
        <w:t>6</w:t>
      </w:r>
      <w:r>
        <w:t>.</w:t>
      </w:r>
      <w:r>
        <w:rPr>
          <w:rFonts w:hint="eastAsia"/>
        </w:rPr>
        <w:t>唱标环节会展示出投标文件填写的唱标项内容，可以在后面的修改中对异常的单位进行备注，备注的单位将不再参与后续的评标流程，同时也可以将唱标过程中的异常情况在左上角的按钮中进行备注，备注内容会在开标记录表中体现，此时流标操作也可以进行。</w:t>
      </w:r>
    </w:p>
    <w:p w14:paraId="2C4F78DD">
      <w:r>
        <w:drawing>
          <wp:inline distT="0" distB="0" distL="0" distR="0">
            <wp:extent cx="5274310" cy="11512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stretch>
                      <a:fillRect/>
                    </a:stretch>
                  </pic:blipFill>
                  <pic:spPr>
                    <a:xfrm>
                      <a:off x="0" y="0"/>
                      <a:ext cx="5274310" cy="1151255"/>
                    </a:xfrm>
                    <a:prstGeom prst="rect">
                      <a:avLst/>
                    </a:prstGeom>
                  </pic:spPr>
                </pic:pic>
              </a:graphicData>
            </a:graphic>
          </wp:inline>
        </w:drawing>
      </w:r>
    </w:p>
    <w:p w14:paraId="3EAEE0D1">
      <w:r>
        <w:rPr>
          <w:rFonts w:hint="eastAsia"/>
        </w:rPr>
        <w:t>7</w:t>
      </w:r>
      <w:r>
        <w:t>.</w:t>
      </w:r>
      <w:r>
        <w:rPr>
          <w:rFonts w:hint="eastAsia"/>
        </w:rPr>
        <w:t>当以上环节进行完成后，进入开标结束环节，点击开标结束按钮可以结束开标流程，签章按钮可以查看开标记录表。</w:t>
      </w:r>
    </w:p>
    <w:p w14:paraId="43F379F2">
      <w:r>
        <w:drawing>
          <wp:inline distT="0" distB="0" distL="0" distR="0">
            <wp:extent cx="5274310" cy="23126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stretch>
                      <a:fillRect/>
                    </a:stretch>
                  </pic:blipFill>
                  <pic:spPr>
                    <a:xfrm>
                      <a:off x="0" y="0"/>
                      <a:ext cx="5274310" cy="2312670"/>
                    </a:xfrm>
                    <a:prstGeom prst="rect">
                      <a:avLst/>
                    </a:prstGeom>
                  </pic:spPr>
                </pic:pic>
              </a:graphicData>
            </a:graphic>
          </wp:inline>
        </w:drawing>
      </w:r>
    </w:p>
    <w:p w14:paraId="43CF3AD4"/>
    <w:p w14:paraId="54162361"/>
    <w:p w14:paraId="736DAA0B">
      <w:pPr>
        <w:rPr>
          <w:b/>
          <w:bCs/>
          <w:sz w:val="24"/>
          <w:szCs w:val="28"/>
        </w:rPr>
      </w:pPr>
      <w:r>
        <w:rPr>
          <w:rFonts w:hint="eastAsia"/>
          <w:b/>
          <w:bCs/>
          <w:sz w:val="24"/>
          <w:szCs w:val="28"/>
        </w:rPr>
        <w:t>评标流程：</w:t>
      </w:r>
    </w:p>
    <w:p w14:paraId="68A2EB32">
      <w:pPr>
        <w:pStyle w:val="6"/>
        <w:numPr>
          <w:ilvl w:val="0"/>
          <w:numId w:val="2"/>
        </w:numPr>
        <w:ind w:firstLineChars="0"/>
        <w:rPr>
          <w:szCs w:val="21"/>
        </w:rPr>
      </w:pPr>
      <w:r>
        <w:rPr>
          <w:rFonts w:hint="eastAsia"/>
          <w:szCs w:val="21"/>
        </w:rPr>
        <w:t>第一个环节是招标文件的导入，首先需要导入招标文件，点击导入按钮。</w:t>
      </w:r>
    </w:p>
    <w:p w14:paraId="1B61174E">
      <w:pPr>
        <w:rPr>
          <w:szCs w:val="21"/>
        </w:rPr>
      </w:pPr>
      <w:r>
        <w:drawing>
          <wp:inline distT="0" distB="0" distL="0" distR="0">
            <wp:extent cx="5274310" cy="227838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stretch>
                      <a:fillRect/>
                    </a:stretch>
                  </pic:blipFill>
                  <pic:spPr>
                    <a:xfrm>
                      <a:off x="0" y="0"/>
                      <a:ext cx="5274310" cy="2278380"/>
                    </a:xfrm>
                    <a:prstGeom prst="rect">
                      <a:avLst/>
                    </a:prstGeom>
                  </pic:spPr>
                </pic:pic>
              </a:graphicData>
            </a:graphic>
          </wp:inline>
        </w:drawing>
      </w:r>
    </w:p>
    <w:p w14:paraId="09DA2C21">
      <w:pPr>
        <w:pStyle w:val="6"/>
        <w:numPr>
          <w:ilvl w:val="0"/>
          <w:numId w:val="2"/>
        </w:numPr>
        <w:ind w:firstLineChars="0"/>
        <w:rPr>
          <w:szCs w:val="21"/>
        </w:rPr>
      </w:pPr>
      <w:r>
        <w:rPr>
          <w:rFonts w:hint="eastAsia"/>
          <w:szCs w:val="21"/>
        </w:rPr>
        <w:t>在评标办法中可以查看评标的流程以及评标办法的具体细节。</w:t>
      </w:r>
    </w:p>
    <w:p w14:paraId="244677BD">
      <w:pPr>
        <w:rPr>
          <w:szCs w:val="21"/>
        </w:rPr>
      </w:pPr>
      <w:r>
        <w:drawing>
          <wp:inline distT="0" distB="0" distL="0" distR="0">
            <wp:extent cx="5274310" cy="230759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stretch>
                      <a:fillRect/>
                    </a:stretch>
                  </pic:blipFill>
                  <pic:spPr>
                    <a:xfrm>
                      <a:off x="0" y="0"/>
                      <a:ext cx="5274310" cy="2307590"/>
                    </a:xfrm>
                    <a:prstGeom prst="rect">
                      <a:avLst/>
                    </a:prstGeom>
                  </pic:spPr>
                </pic:pic>
              </a:graphicData>
            </a:graphic>
          </wp:inline>
        </w:drawing>
      </w:r>
    </w:p>
    <w:p w14:paraId="4A34681E">
      <w:pPr>
        <w:pStyle w:val="6"/>
        <w:numPr>
          <w:ilvl w:val="0"/>
          <w:numId w:val="2"/>
        </w:numPr>
        <w:ind w:firstLineChars="0"/>
        <w:rPr>
          <w:szCs w:val="21"/>
        </w:rPr>
      </w:pPr>
      <w:r>
        <w:rPr>
          <w:rFonts w:hint="eastAsia"/>
          <w:szCs w:val="21"/>
        </w:rPr>
        <w:t>确定资审评委环节可以录入资审评委的名单，打印按钮可以将账号打印出来，分给评委登陆</w:t>
      </w:r>
    </w:p>
    <w:p w14:paraId="41A2A4F5">
      <w:pPr>
        <w:rPr>
          <w:szCs w:val="21"/>
        </w:rPr>
      </w:pPr>
      <w:r>
        <w:drawing>
          <wp:inline distT="0" distB="0" distL="0" distR="0">
            <wp:extent cx="5274310" cy="131826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stretch>
                      <a:fillRect/>
                    </a:stretch>
                  </pic:blipFill>
                  <pic:spPr>
                    <a:xfrm>
                      <a:off x="0" y="0"/>
                      <a:ext cx="5274310" cy="1318260"/>
                    </a:xfrm>
                    <a:prstGeom prst="rect">
                      <a:avLst/>
                    </a:prstGeom>
                  </pic:spPr>
                </pic:pic>
              </a:graphicData>
            </a:graphic>
          </wp:inline>
        </w:drawing>
      </w:r>
    </w:p>
    <w:p w14:paraId="69776E75">
      <w:pPr>
        <w:pStyle w:val="6"/>
        <w:numPr>
          <w:ilvl w:val="0"/>
          <w:numId w:val="2"/>
        </w:numPr>
        <w:ind w:firstLineChars="0"/>
        <w:rPr>
          <w:szCs w:val="21"/>
        </w:rPr>
      </w:pPr>
      <w:r>
        <w:rPr>
          <w:rFonts w:hint="eastAsia"/>
          <w:szCs w:val="21"/>
        </w:rPr>
        <w:t>录入评委名单菜单需要录入普通评委的名单，若资审评委也作为普通评委参与评标，则需要在此处录入信息（资审评委相当于有两个账号，一个资审评委账号，一个普通评委账号）。</w:t>
      </w:r>
    </w:p>
    <w:p w14:paraId="51D807E4">
      <w:pPr>
        <w:rPr>
          <w:szCs w:val="21"/>
        </w:rPr>
      </w:pPr>
      <w:r>
        <w:drawing>
          <wp:inline distT="0" distB="0" distL="0" distR="0">
            <wp:extent cx="5274310" cy="17335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stretch>
                      <a:fillRect/>
                    </a:stretch>
                  </pic:blipFill>
                  <pic:spPr>
                    <a:xfrm>
                      <a:off x="0" y="0"/>
                      <a:ext cx="5274310" cy="1733550"/>
                    </a:xfrm>
                    <a:prstGeom prst="rect">
                      <a:avLst/>
                    </a:prstGeom>
                  </pic:spPr>
                </pic:pic>
              </a:graphicData>
            </a:graphic>
          </wp:inline>
        </w:drawing>
      </w:r>
    </w:p>
    <w:p w14:paraId="3EAE940D">
      <w:pPr>
        <w:numPr>
          <w:ilvl w:val="0"/>
          <w:numId w:val="2"/>
        </w:numPr>
        <w:ind w:left="360" w:leftChars="0" w:hanging="360" w:firstLineChars="0"/>
        <w:rPr>
          <w:rFonts w:hint="eastAsia"/>
          <w:szCs w:val="21"/>
        </w:rPr>
      </w:pPr>
      <w:r>
        <w:rPr>
          <w:rFonts w:hint="eastAsia"/>
          <w:szCs w:val="21"/>
        </w:rPr>
        <w:t>后面的流程就进入了评审流程，评审流程首先需要普通专家登录系统，确定单位的回避以及推选评标组长，之后再由资审评委进行资格性评审，然后再由普通专家进行初步评审和详细评审。</w:t>
      </w:r>
    </w:p>
    <w:p w14:paraId="730F4C77">
      <w:pPr>
        <w:numPr>
          <w:ilvl w:val="0"/>
          <w:numId w:val="2"/>
        </w:numPr>
        <w:ind w:left="360" w:leftChars="0" w:hanging="360" w:firstLineChars="0"/>
        <w:rPr>
          <w:rFonts w:hint="default"/>
          <w:szCs w:val="21"/>
          <w:lang w:val="en-US" w:eastAsia="zh-CN"/>
        </w:rPr>
      </w:pPr>
      <w:r>
        <w:rPr>
          <w:rFonts w:hint="eastAsia"/>
          <w:szCs w:val="21"/>
          <w:lang w:val="en-US" w:eastAsia="zh-CN"/>
        </w:rPr>
        <w:t>二次报价由评委组长老师进行操作，组长老师进入初步评审环节进行评审。</w:t>
      </w:r>
    </w:p>
    <w:p w14:paraId="7368B193">
      <w:pPr>
        <w:numPr>
          <w:ilvl w:val="0"/>
          <w:numId w:val="0"/>
        </w:numPr>
      </w:pPr>
      <w:r>
        <w:drawing>
          <wp:inline distT="0" distB="0" distL="114300" distR="114300">
            <wp:extent cx="5270500" cy="2492375"/>
            <wp:effectExtent l="0" t="0" r="635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5270500" cy="2492375"/>
                    </a:xfrm>
                    <a:prstGeom prst="rect">
                      <a:avLst/>
                    </a:prstGeom>
                    <a:noFill/>
                    <a:ln>
                      <a:noFill/>
                    </a:ln>
                  </pic:spPr>
                </pic:pic>
              </a:graphicData>
            </a:graphic>
          </wp:inline>
        </w:drawing>
      </w:r>
    </w:p>
    <w:p w14:paraId="4DDB9940">
      <w:pPr>
        <w:numPr>
          <w:ilvl w:val="0"/>
          <w:numId w:val="2"/>
        </w:numPr>
        <w:ind w:left="360" w:leftChars="0" w:hanging="360" w:firstLineChars="0"/>
        <w:rPr>
          <w:rFonts w:hint="default" w:eastAsiaTheme="minorEastAsia"/>
          <w:lang w:val="en-US" w:eastAsia="zh-CN"/>
        </w:rPr>
      </w:pPr>
      <w:r>
        <w:rPr>
          <w:rFonts w:hint="eastAsia"/>
          <w:lang w:val="en-US" w:eastAsia="zh-CN"/>
        </w:rPr>
        <w:t>初步评审环节，组长老师将资格评审，资格评审汇总，符合性评审，符合性评审汇总，无效文件查看环节都确认后，在标价比较表中可进行二次报价。</w:t>
      </w:r>
    </w:p>
    <w:p w14:paraId="344C6B41">
      <w:pPr>
        <w:numPr>
          <w:ilvl w:val="0"/>
          <w:numId w:val="0"/>
        </w:numPr>
        <w:ind w:leftChars="0"/>
      </w:pPr>
      <w:r>
        <w:drawing>
          <wp:inline distT="0" distB="0" distL="114300" distR="114300">
            <wp:extent cx="5263515" cy="2450465"/>
            <wp:effectExtent l="0" t="0" r="13335" b="698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6"/>
                    <a:stretch>
                      <a:fillRect/>
                    </a:stretch>
                  </pic:blipFill>
                  <pic:spPr>
                    <a:xfrm>
                      <a:off x="0" y="0"/>
                      <a:ext cx="5263515" cy="2450465"/>
                    </a:xfrm>
                    <a:prstGeom prst="rect">
                      <a:avLst/>
                    </a:prstGeom>
                    <a:noFill/>
                    <a:ln>
                      <a:noFill/>
                    </a:ln>
                  </pic:spPr>
                </pic:pic>
              </a:graphicData>
            </a:graphic>
          </wp:inline>
        </w:drawing>
      </w:r>
    </w:p>
    <w:p w14:paraId="11DF4764">
      <w:pPr>
        <w:numPr>
          <w:ilvl w:val="0"/>
          <w:numId w:val="0"/>
        </w:numPr>
        <w:ind w:leftChars="0"/>
      </w:pPr>
    </w:p>
    <w:p w14:paraId="50206717">
      <w:pPr>
        <w:numPr>
          <w:ilvl w:val="0"/>
          <w:numId w:val="2"/>
        </w:numPr>
        <w:ind w:left="360" w:leftChars="0" w:hanging="360" w:firstLineChars="0"/>
        <w:rPr>
          <w:rFonts w:hint="default" w:eastAsiaTheme="minorEastAsia"/>
          <w:lang w:val="en-US" w:eastAsia="zh-CN"/>
        </w:rPr>
      </w:pPr>
      <w:r>
        <w:rPr>
          <w:rFonts w:hint="eastAsia"/>
          <w:lang w:val="en-US" w:eastAsia="zh-CN"/>
        </w:rPr>
        <w:t>组长老师在标价比较表环节，首先点击【保存当前报价】按钮。保存后可以双击【投标价格】列中的价格，进行手动编辑报价，编辑好后点击【确认】按钮。然后再点击【保存当前报价】可以保存本轮价格。</w:t>
      </w:r>
    </w:p>
    <w:p w14:paraId="46FCE3E3">
      <w:pPr>
        <w:numPr>
          <w:ilvl w:val="0"/>
          <w:numId w:val="0"/>
        </w:numPr>
        <w:ind w:leftChars="0"/>
      </w:pPr>
      <w:r>
        <w:drawing>
          <wp:inline distT="0" distB="0" distL="114300" distR="114300">
            <wp:extent cx="5263515" cy="2084070"/>
            <wp:effectExtent l="0" t="0" r="13335" b="1143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7"/>
                    <a:stretch>
                      <a:fillRect/>
                    </a:stretch>
                  </pic:blipFill>
                  <pic:spPr>
                    <a:xfrm>
                      <a:off x="0" y="0"/>
                      <a:ext cx="5263515" cy="2084070"/>
                    </a:xfrm>
                    <a:prstGeom prst="rect">
                      <a:avLst/>
                    </a:prstGeom>
                    <a:noFill/>
                    <a:ln>
                      <a:noFill/>
                    </a:ln>
                  </pic:spPr>
                </pic:pic>
              </a:graphicData>
            </a:graphic>
          </wp:inline>
        </w:drawing>
      </w:r>
    </w:p>
    <w:p w14:paraId="06311779">
      <w:pPr>
        <w:numPr>
          <w:ilvl w:val="0"/>
          <w:numId w:val="0"/>
        </w:numPr>
        <w:ind w:leftChars="0"/>
      </w:pPr>
    </w:p>
    <w:p w14:paraId="77241B84">
      <w:pPr>
        <w:numPr>
          <w:ilvl w:val="0"/>
          <w:numId w:val="0"/>
        </w:numPr>
        <w:ind w:leftChars="0"/>
        <w:rPr>
          <w:rFonts w:hint="default" w:eastAsiaTheme="minorEastAsia"/>
          <w:lang w:val="en-US" w:eastAsia="zh-CN"/>
        </w:rPr>
      </w:pPr>
      <w:r>
        <w:rPr>
          <w:rFonts w:hint="eastAsia"/>
          <w:lang w:val="en-US" w:eastAsia="zh-CN"/>
        </w:rPr>
        <w:t>9.  多轮报价结束后，点击【下一步】进行后续评审环节。</w:t>
      </w:r>
    </w:p>
    <w:p w14:paraId="1279CEEA">
      <w:pPr>
        <w:numPr>
          <w:ilvl w:val="0"/>
          <w:numId w:val="0"/>
        </w:numPr>
        <w:ind w:leftChars="0"/>
      </w:pPr>
      <w:r>
        <w:drawing>
          <wp:inline distT="0" distB="0" distL="114300" distR="114300">
            <wp:extent cx="5263515" cy="2378075"/>
            <wp:effectExtent l="0" t="0" r="13335" b="317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8"/>
                    <a:stretch>
                      <a:fillRect/>
                    </a:stretch>
                  </pic:blipFill>
                  <pic:spPr>
                    <a:xfrm>
                      <a:off x="0" y="0"/>
                      <a:ext cx="5263515" cy="2378075"/>
                    </a:xfrm>
                    <a:prstGeom prst="rect">
                      <a:avLst/>
                    </a:prstGeom>
                    <a:noFill/>
                    <a:ln>
                      <a:noFill/>
                    </a:ln>
                  </pic:spPr>
                </pic:pic>
              </a:graphicData>
            </a:graphic>
          </wp:inline>
        </w:drawing>
      </w:r>
    </w:p>
    <w:p w14:paraId="320CE63B">
      <w:pPr>
        <w:numPr>
          <w:ilvl w:val="0"/>
          <w:numId w:val="0"/>
        </w:numPr>
        <w:ind w:leftChars="0"/>
      </w:pPr>
    </w:p>
    <w:p w14:paraId="3C100C05">
      <w:pPr>
        <w:numPr>
          <w:ilvl w:val="0"/>
          <w:numId w:val="0"/>
        </w:numPr>
        <w:ind w:leftChars="0"/>
        <w:rPr>
          <w:rFonts w:hint="default"/>
          <w:lang w:val="en-US" w:eastAsia="zh-CN"/>
        </w:rPr>
      </w:pPr>
      <w:r>
        <w:rPr>
          <w:rFonts w:hint="eastAsia"/>
          <w:lang w:val="en-US" w:eastAsia="zh-CN"/>
        </w:rPr>
        <w:t>10.  在评标结果环节，对【同品牌入围】、【最终排序】环节进行确认。</w:t>
      </w:r>
    </w:p>
    <w:p w14:paraId="1E43E644">
      <w:pPr>
        <w:numPr>
          <w:ilvl w:val="0"/>
          <w:numId w:val="0"/>
        </w:numPr>
        <w:ind w:leftChars="0"/>
      </w:pPr>
      <w:r>
        <w:drawing>
          <wp:inline distT="0" distB="0" distL="114300" distR="114300">
            <wp:extent cx="5263515" cy="1972945"/>
            <wp:effectExtent l="0" t="0" r="13335" b="825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9"/>
                    <a:stretch>
                      <a:fillRect/>
                    </a:stretch>
                  </pic:blipFill>
                  <pic:spPr>
                    <a:xfrm>
                      <a:off x="0" y="0"/>
                      <a:ext cx="5263515" cy="1972945"/>
                    </a:xfrm>
                    <a:prstGeom prst="rect">
                      <a:avLst/>
                    </a:prstGeom>
                    <a:noFill/>
                    <a:ln>
                      <a:noFill/>
                    </a:ln>
                  </pic:spPr>
                </pic:pic>
              </a:graphicData>
            </a:graphic>
          </wp:inline>
        </w:drawing>
      </w:r>
    </w:p>
    <w:p w14:paraId="567B71CE">
      <w:pPr>
        <w:numPr>
          <w:ilvl w:val="0"/>
          <w:numId w:val="0"/>
        </w:numPr>
        <w:ind w:leftChars="0"/>
      </w:pPr>
    </w:p>
    <w:p w14:paraId="6198BDEC">
      <w:pPr>
        <w:numPr>
          <w:ilvl w:val="0"/>
          <w:numId w:val="3"/>
        </w:numPr>
        <w:ind w:leftChars="0"/>
        <w:rPr>
          <w:rFonts w:hint="default" w:eastAsiaTheme="minorEastAsia"/>
          <w:lang w:val="en-US" w:eastAsia="zh-CN"/>
        </w:rPr>
      </w:pPr>
      <w:r>
        <w:rPr>
          <w:rFonts w:hint="eastAsia"/>
          <w:lang w:val="en-US" w:eastAsia="zh-CN"/>
        </w:rPr>
        <w:t xml:space="preserve"> 【最终排序】确认好之后，进行【推荐中标候选人】流程。挑选推荐的中标单位后点击选择，该单位会展示在【确定中标人】栏目中，确认正确点击【确定中标人】。</w:t>
      </w:r>
    </w:p>
    <w:p w14:paraId="5DDD47CD">
      <w:pPr>
        <w:numPr>
          <w:ilvl w:val="0"/>
          <w:numId w:val="0"/>
        </w:numPr>
        <w:ind w:leftChars="0"/>
      </w:pPr>
      <w:r>
        <w:drawing>
          <wp:inline distT="0" distB="0" distL="114300" distR="114300">
            <wp:extent cx="5269230" cy="2386330"/>
            <wp:effectExtent l="0" t="0" r="7620" b="1397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0"/>
                    <a:stretch>
                      <a:fillRect/>
                    </a:stretch>
                  </pic:blipFill>
                  <pic:spPr>
                    <a:xfrm>
                      <a:off x="0" y="0"/>
                      <a:ext cx="5269230" cy="2386330"/>
                    </a:xfrm>
                    <a:prstGeom prst="rect">
                      <a:avLst/>
                    </a:prstGeom>
                    <a:noFill/>
                    <a:ln>
                      <a:noFill/>
                    </a:ln>
                  </pic:spPr>
                </pic:pic>
              </a:graphicData>
            </a:graphic>
          </wp:inline>
        </w:drawing>
      </w:r>
    </w:p>
    <w:p w14:paraId="031E0907">
      <w:pPr>
        <w:numPr>
          <w:ilvl w:val="0"/>
          <w:numId w:val="0"/>
        </w:numPr>
        <w:ind w:leftChars="0"/>
      </w:pPr>
    </w:p>
    <w:p w14:paraId="56262EEE">
      <w:pPr>
        <w:numPr>
          <w:ilvl w:val="0"/>
          <w:numId w:val="3"/>
        </w:numPr>
        <w:ind w:left="0" w:leftChars="0" w:firstLine="0" w:firstLineChars="0"/>
        <w:rPr>
          <w:rFonts w:hint="default"/>
          <w:lang w:val="en-US" w:eastAsia="zh-CN"/>
        </w:rPr>
      </w:pPr>
      <w:r>
        <w:rPr>
          <w:rFonts w:hint="eastAsia"/>
          <w:lang w:val="en-US" w:eastAsia="zh-CN"/>
        </w:rPr>
        <w:t xml:space="preserve"> 系统目前无需签章，确定中标人之后即可进行点击评标结束。</w:t>
      </w:r>
    </w:p>
    <w:p w14:paraId="31A643A8">
      <w:pPr>
        <w:numPr>
          <w:ilvl w:val="0"/>
          <w:numId w:val="0"/>
        </w:numPr>
        <w:ind w:leftChars="0"/>
      </w:pPr>
      <w:r>
        <w:drawing>
          <wp:inline distT="0" distB="0" distL="114300" distR="114300">
            <wp:extent cx="5263515" cy="2072005"/>
            <wp:effectExtent l="0" t="0" r="13335" b="444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1"/>
                    <a:stretch>
                      <a:fillRect/>
                    </a:stretch>
                  </pic:blipFill>
                  <pic:spPr>
                    <a:xfrm>
                      <a:off x="0" y="0"/>
                      <a:ext cx="5263515" cy="2072005"/>
                    </a:xfrm>
                    <a:prstGeom prst="rect">
                      <a:avLst/>
                    </a:prstGeom>
                    <a:noFill/>
                    <a:ln>
                      <a:noFill/>
                    </a:ln>
                  </pic:spPr>
                </pic:pic>
              </a:graphicData>
            </a:graphic>
          </wp:inline>
        </w:drawing>
      </w:r>
    </w:p>
    <w:p w14:paraId="6FBFE9CC">
      <w:pPr>
        <w:numPr>
          <w:ilvl w:val="0"/>
          <w:numId w:val="0"/>
        </w:numPr>
        <w:ind w:leftChars="0"/>
      </w:pPr>
    </w:p>
    <w:p w14:paraId="77F6F4FA">
      <w:pPr>
        <w:numPr>
          <w:ilvl w:val="0"/>
          <w:numId w:val="0"/>
        </w:numPr>
        <w:ind w:leftChars="0"/>
      </w:pPr>
    </w:p>
    <w:p w14:paraId="0425CAAC">
      <w:pPr>
        <w:numPr>
          <w:ilvl w:val="0"/>
          <w:numId w:val="0"/>
        </w:numPr>
        <w:ind w:leftChars="0"/>
      </w:pPr>
    </w:p>
    <w:p w14:paraId="11C55F90">
      <w:pPr>
        <w:numPr>
          <w:ilvl w:val="0"/>
          <w:numId w:val="0"/>
        </w:numPr>
        <w:ind w:leftChars="0"/>
      </w:pPr>
    </w:p>
    <w:p w14:paraId="270ED7C4">
      <w:pPr>
        <w:numPr>
          <w:ilvl w:val="0"/>
          <w:numId w:val="3"/>
        </w:numPr>
        <w:ind w:left="0" w:leftChars="0" w:firstLine="0" w:firstLineChars="0"/>
        <w:rPr>
          <w:rFonts w:hint="default" w:eastAsiaTheme="minorEastAsia"/>
          <w:lang w:val="en-US" w:eastAsia="zh-CN"/>
        </w:rPr>
      </w:pPr>
      <w:r>
        <w:rPr>
          <w:rFonts w:hint="eastAsia"/>
          <w:lang w:val="en-US" w:eastAsia="zh-CN"/>
        </w:rPr>
        <w:t xml:space="preserve"> 评标结束后由代理机构在【评标报告】环节中打印相关评标报告。</w:t>
      </w:r>
    </w:p>
    <w:p w14:paraId="6E2F3049">
      <w:pPr>
        <w:numPr>
          <w:ilvl w:val="0"/>
          <w:numId w:val="0"/>
        </w:numPr>
        <w:ind w:leftChars="0"/>
        <w:rPr>
          <w:rFonts w:hint="default" w:eastAsiaTheme="minorEastAsia"/>
          <w:lang w:val="en-US" w:eastAsia="zh-CN"/>
        </w:rPr>
      </w:pPr>
      <w:r>
        <w:drawing>
          <wp:inline distT="0" distB="0" distL="114300" distR="114300">
            <wp:extent cx="5267960" cy="2227580"/>
            <wp:effectExtent l="0" t="0" r="8890" b="127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2"/>
                    <a:stretch>
                      <a:fillRect/>
                    </a:stretch>
                  </pic:blipFill>
                  <pic:spPr>
                    <a:xfrm>
                      <a:off x="0" y="0"/>
                      <a:ext cx="5267960" cy="222758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3A5B40"/>
    <w:multiLevelType w:val="multilevel"/>
    <w:tmpl w:val="513A5B4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1A02A0C"/>
    <w:multiLevelType w:val="singleLevel"/>
    <w:tmpl w:val="61A02A0C"/>
    <w:lvl w:ilvl="0" w:tentative="0">
      <w:start w:val="11"/>
      <w:numFmt w:val="decimal"/>
      <w:suff w:val="space"/>
      <w:lvlText w:val="%1."/>
      <w:lvlJc w:val="left"/>
    </w:lvl>
  </w:abstractNum>
  <w:abstractNum w:abstractNumId="2">
    <w:nsid w:val="68426E68"/>
    <w:multiLevelType w:val="multilevel"/>
    <w:tmpl w:val="68426E6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0OWZkZGExZjEyODdmZTI5NDQ3NzViOGY1ZDI5YzUifQ=="/>
  </w:docVars>
  <w:rsids>
    <w:rsidRoot w:val="001310AC"/>
    <w:rsid w:val="000263C0"/>
    <w:rsid w:val="001016A6"/>
    <w:rsid w:val="001310AC"/>
    <w:rsid w:val="002F28E2"/>
    <w:rsid w:val="003117E1"/>
    <w:rsid w:val="00332981"/>
    <w:rsid w:val="003E2357"/>
    <w:rsid w:val="0041677C"/>
    <w:rsid w:val="004642A4"/>
    <w:rsid w:val="008847DB"/>
    <w:rsid w:val="008D118E"/>
    <w:rsid w:val="00A80807"/>
    <w:rsid w:val="00B12757"/>
    <w:rsid w:val="00B150F7"/>
    <w:rsid w:val="00B269F9"/>
    <w:rsid w:val="00B4755F"/>
    <w:rsid w:val="00B81327"/>
    <w:rsid w:val="00C4722F"/>
    <w:rsid w:val="00CE5B0A"/>
    <w:rsid w:val="00D20EE7"/>
    <w:rsid w:val="00D578E1"/>
    <w:rsid w:val="04477A05"/>
    <w:rsid w:val="18A812CB"/>
    <w:rsid w:val="5A7B6781"/>
    <w:rsid w:val="66362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character" w:styleId="4">
    <w:name w:val="Hyperlink"/>
    <w:basedOn w:val="3"/>
    <w:unhideWhenUsed/>
    <w:qFormat/>
    <w:uiPriority w:val="99"/>
    <w:rPr>
      <w:color w:val="0563C1" w:themeColor="hyperlink"/>
      <w:u w:val="single"/>
      <w14:textFill>
        <w14:solidFill>
          <w14:schemeClr w14:val="hlink"/>
        </w14:solidFill>
      </w14:textFill>
    </w:rPr>
  </w:style>
  <w:style w:type="character" w:customStyle="1" w:styleId="5">
    <w:name w:val="未处理的提及1"/>
    <w:basedOn w:val="3"/>
    <w:semiHidden/>
    <w:unhideWhenUsed/>
    <w:qFormat/>
    <w:uiPriority w:val="99"/>
    <w:rPr>
      <w:color w:val="605E5C"/>
      <w:shd w:val="clear" w:color="auto" w:fill="E1DFDD"/>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8</Pages>
  <Words>1226</Words>
  <Characters>1270</Characters>
  <Lines>7</Lines>
  <Paragraphs>2</Paragraphs>
  <TotalTime>121</TotalTime>
  <ScaleCrop>false</ScaleCrop>
  <LinksUpToDate>false</LinksUpToDate>
  <CharactersWithSpaces>1277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2022-02-22T00:58:00Z</dcterms:created>
  <dc:creator>黄 首峰</dc:creator>
  <cp:lastModifiedBy>国泰测试竞买单位1</cp:lastModifiedBy>
  <dcterms:modified xsi:type="dcterms:W3CDTF">2025-06-16T01:43:47Z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D6ECF980EB184B2394BA4B64DF630417_13</vt:lpwstr>
  </property>
  <property fmtid="{D5CDD505-2E9C-101B-9397-08002B2CF9AE}" pid="4" name="KSOTemplateDocerSaveRecord">
    <vt:lpwstr>eyJoZGlkIjoiZGFjMzc4MzBhZmVmNmYwMzExN2YxODQ3NzQ1YTEyZjIiLCJ1c2VySWQiOiI0MjQyNTAzNDEifQ==</vt:lpwstr>
  </property>
</Properties>
</file>